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BE205D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C22057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E205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BE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E64E38" w:rsidRPr="003903C8" w:rsidRDefault="00E64E38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2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E205D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E205D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9"/>
        <w:gridCol w:w="3219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BE205D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BE205D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05D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C22057">
        <w:rPr>
          <w:rFonts w:ascii="Times New Roman" w:hAnsi="Times New Roman" w:cs="Times New Roman"/>
          <w:sz w:val="28"/>
          <w:szCs w:val="28"/>
        </w:rPr>
        <w:t>25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BE205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C22057">
        <w:rPr>
          <w:rFonts w:ascii="Times New Roman" w:hAnsi="Times New Roman" w:cs="Times New Roman"/>
          <w:sz w:val="28"/>
          <w:szCs w:val="28"/>
        </w:rPr>
        <w:t>52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BE205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C5577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E205D">
        <w:rPr>
          <w:rFonts w:ascii="Times New Roman" w:hAnsi="Times New Roman" w:cs="Times New Roman"/>
          <w:sz w:val="28"/>
          <w:szCs w:val="28"/>
        </w:rPr>
        <w:t>главный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4. 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BE205D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lastRenderedPageBreak/>
        <w:t>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057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220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057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220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057" w:rsidRPr="00BE205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3F5B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(за исключением выездной проверки, основанием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>я в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сведений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F24109" w:rsidRDefault="0008562E" w:rsidP="00F24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  <w:r w:rsidR="00F24109">
        <w:rPr>
          <w:rFonts w:ascii="Times New Roman" w:hAnsi="Times New Roman" w:cs="Times New Roman"/>
          <w:sz w:val="28"/>
          <w:szCs w:val="28"/>
        </w:rPr>
        <w:lastRenderedPageBreak/>
        <w:t>Обжалование решений контрольного органа,  действий (бездействия) его должностных лиц</w:t>
      </w:r>
    </w:p>
    <w:p w:rsidR="00F24109" w:rsidRDefault="00F24109" w:rsidP="00F24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F2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F24109" w:rsidRDefault="00F24109" w:rsidP="00F2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08562E" w:rsidRPr="003903C8" w:rsidRDefault="0008562E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9" w:rsidRPr="003903C8" w:rsidRDefault="00F241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22057" w:rsidRPr="00C2205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, ОТРАЖАЮЩИЕ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9D" w:rsidRDefault="00F4079D" w:rsidP="00A672F0">
      <w:pPr>
        <w:spacing w:after="0" w:line="240" w:lineRule="auto"/>
      </w:pPr>
      <w:r>
        <w:separator/>
      </w:r>
    </w:p>
  </w:endnote>
  <w:endnote w:type="continuationSeparator" w:id="0">
    <w:p w:rsidR="00F4079D" w:rsidRDefault="00F4079D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9D" w:rsidRDefault="00F4079D" w:rsidP="00A672F0">
      <w:pPr>
        <w:spacing w:after="0" w:line="240" w:lineRule="auto"/>
      </w:pPr>
      <w:r>
        <w:separator/>
      </w:r>
    </w:p>
  </w:footnote>
  <w:footnote w:type="continuationSeparator" w:id="0">
    <w:p w:rsidR="00F4079D" w:rsidRDefault="00F4079D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09">
          <w:rPr>
            <w:noProof/>
          </w:rPr>
          <w:t>18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E205D"/>
    <w:rsid w:val="00BF07B1"/>
    <w:rsid w:val="00BF2B30"/>
    <w:rsid w:val="00BF5943"/>
    <w:rsid w:val="00C0076E"/>
    <w:rsid w:val="00C072E1"/>
    <w:rsid w:val="00C15E2B"/>
    <w:rsid w:val="00C22057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24109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4A6F-719F-40CC-836E-5EEE1C3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18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Елена</cp:lastModifiedBy>
  <cp:revision>39</cp:revision>
  <cp:lastPrinted>2021-07-27T12:04:00Z</cp:lastPrinted>
  <dcterms:created xsi:type="dcterms:W3CDTF">2021-08-13T08:09:00Z</dcterms:created>
  <dcterms:modified xsi:type="dcterms:W3CDTF">2021-11-25T13:07:00Z</dcterms:modified>
</cp:coreProperties>
</file>