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86233E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НИЖНЕКАРАЧАНСКОГО </w:t>
      </w:r>
      <w:r w:rsidR="00B774E8" w:rsidRPr="00B774E8">
        <w:rPr>
          <w:sz w:val="28"/>
          <w:szCs w:val="28"/>
        </w:rPr>
        <w:t>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Р</w:t>
      </w:r>
      <w:proofErr w:type="gramEnd"/>
      <w:r w:rsidRPr="00B774E8">
        <w:rPr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C94B15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</w:t>
      </w:r>
      <w:r w:rsidR="00B774E8" w:rsidRPr="00B774E8">
        <w:rPr>
          <w:sz w:val="28"/>
          <w:szCs w:val="28"/>
        </w:rPr>
        <w:t>2022 года №</w:t>
      </w:r>
      <w:r>
        <w:rPr>
          <w:sz w:val="28"/>
          <w:szCs w:val="28"/>
        </w:rPr>
        <w:t xml:space="preserve"> 79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86233E">
        <w:rPr>
          <w:sz w:val="28"/>
          <w:szCs w:val="28"/>
        </w:rPr>
        <w:t>Нижний Карачан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6233E">
        <w:rPr>
          <w:rFonts w:eastAsia="Calibri"/>
          <w:sz w:val="28"/>
          <w:szCs w:val="28"/>
        </w:rPr>
        <w:t xml:space="preserve">Нижнекарачанского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86233E">
        <w:rPr>
          <w:rFonts w:eastAsia="Calibri"/>
          <w:sz w:val="28"/>
          <w:szCs w:val="28"/>
        </w:rPr>
        <w:t>Нижнекарачанского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6233E">
        <w:rPr>
          <w:rFonts w:eastAsia="Calibri"/>
          <w:sz w:val="28"/>
          <w:szCs w:val="28"/>
        </w:rPr>
        <w:t>Нижнекарачанского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86233E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С.И.</w:t>
            </w:r>
            <w:r w:rsidR="00C94B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Гомолко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86233E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Нижнекарачанского</w:t>
      </w:r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C94B15">
        <w:rPr>
          <w:rFonts w:eastAsia="Calibri"/>
          <w:sz w:val="28"/>
          <w:szCs w:val="28"/>
        </w:rPr>
        <w:t>24.06.</w:t>
      </w:r>
      <w:bookmarkStart w:id="0" w:name="_GoBack"/>
      <w:bookmarkEnd w:id="0"/>
      <w:r w:rsidR="0086233E">
        <w:rPr>
          <w:rFonts w:eastAsia="Calibri"/>
          <w:sz w:val="28"/>
          <w:szCs w:val="28"/>
        </w:rPr>
        <w:t>2022г.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№</w:t>
      </w:r>
      <w:r w:rsidR="00C94B15">
        <w:rPr>
          <w:rFonts w:eastAsia="Calibri"/>
          <w:sz w:val="28"/>
          <w:szCs w:val="28"/>
        </w:rPr>
        <w:t xml:space="preserve"> 79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6233E">
        <w:rPr>
          <w:rFonts w:eastAsia="Calibri"/>
          <w:sz w:val="28"/>
          <w:szCs w:val="28"/>
        </w:rPr>
        <w:t>Нижнекарачанского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86233E" w:rsidRPr="0086233E">
        <w:rPr>
          <w:rFonts w:eastAsia="Calibri"/>
          <w:sz w:val="28"/>
          <w:szCs w:val="28"/>
        </w:rPr>
        <w:t xml:space="preserve">Нижнекарачанского </w:t>
      </w:r>
      <w:r w:rsidR="00792E36" w:rsidRPr="0086233E">
        <w:rPr>
          <w:rFonts w:eastAsia="Calibri"/>
          <w:sz w:val="28"/>
          <w:szCs w:val="28"/>
        </w:rPr>
        <w:t>сельского</w:t>
      </w:r>
      <w:r w:rsidR="00792E36" w:rsidRPr="00D20269">
        <w:rPr>
          <w:rFonts w:eastAsia="Calibri"/>
          <w:sz w:val="28"/>
          <w:szCs w:val="28"/>
        </w:rPr>
        <w:t xml:space="preserve">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86233E" w:rsidRPr="0086233E">
        <w:rPr>
          <w:rFonts w:eastAsia="Calibri"/>
          <w:sz w:val="28"/>
          <w:szCs w:val="28"/>
        </w:rPr>
        <w:t xml:space="preserve"> 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86233E" w:rsidRPr="0086233E">
        <w:rPr>
          <w:rFonts w:eastAsia="Calibri"/>
          <w:sz w:val="28"/>
          <w:szCs w:val="28"/>
        </w:rPr>
        <w:t>Нижнекарачанского</w:t>
      </w:r>
      <w:r w:rsidR="0086233E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14. Отозванный проект правового акта может быть заново внесен в представительный орган. В этом случае проект рассматривается </w:t>
      </w:r>
      <w:r w:rsidRPr="00D20269">
        <w:rPr>
          <w:rFonts w:eastAsia="Calibri"/>
          <w:sz w:val="28"/>
          <w:szCs w:val="28"/>
        </w:rPr>
        <w:lastRenderedPageBreak/>
        <w:t>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</w:t>
      </w:r>
      <w:r w:rsidRPr="00D20269">
        <w:rPr>
          <w:color w:val="333333"/>
          <w:sz w:val="28"/>
          <w:szCs w:val="28"/>
        </w:rPr>
        <w:lastRenderedPageBreak/>
        <w:t xml:space="preserve">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305AEE" w:rsidRPr="00D20269" w:rsidSect="00C94B15">
      <w:headerReference w:type="default" r:id="rId8"/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3A" w:rsidRDefault="0066553A" w:rsidP="0086233E">
      <w:r>
        <w:separator/>
      </w:r>
    </w:p>
  </w:endnote>
  <w:endnote w:type="continuationSeparator" w:id="0">
    <w:p w:rsidR="0066553A" w:rsidRDefault="0066553A" w:rsidP="008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3A" w:rsidRDefault="0066553A" w:rsidP="0086233E">
      <w:r>
        <w:separator/>
      </w:r>
    </w:p>
  </w:footnote>
  <w:footnote w:type="continuationSeparator" w:id="0">
    <w:p w:rsidR="0066553A" w:rsidRDefault="0066553A" w:rsidP="0086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3E" w:rsidRDefault="0086233E" w:rsidP="0086233E">
    <w:pPr>
      <w:pStyle w:val="a4"/>
      <w:tabs>
        <w:tab w:val="clear" w:pos="4677"/>
        <w:tab w:val="clear" w:pos="9355"/>
        <w:tab w:val="left" w:pos="7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6553A"/>
    <w:rsid w:val="006E4829"/>
    <w:rsid w:val="00766A18"/>
    <w:rsid w:val="00792E36"/>
    <w:rsid w:val="007A79C0"/>
    <w:rsid w:val="007B4027"/>
    <w:rsid w:val="008439A1"/>
    <w:rsid w:val="0086233E"/>
    <w:rsid w:val="008D3B74"/>
    <w:rsid w:val="009B71C1"/>
    <w:rsid w:val="009F4A2B"/>
    <w:rsid w:val="00A03EB5"/>
    <w:rsid w:val="00A13C3A"/>
    <w:rsid w:val="00AF3B61"/>
    <w:rsid w:val="00B4671B"/>
    <w:rsid w:val="00B47740"/>
    <w:rsid w:val="00B774E8"/>
    <w:rsid w:val="00B83C67"/>
    <w:rsid w:val="00BC166A"/>
    <w:rsid w:val="00C07060"/>
    <w:rsid w:val="00C831AA"/>
    <w:rsid w:val="00C94B15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3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33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3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2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3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3</cp:revision>
  <cp:lastPrinted>2022-06-24T05:44:00Z</cp:lastPrinted>
  <dcterms:created xsi:type="dcterms:W3CDTF">2022-06-23T05:57:00Z</dcterms:created>
  <dcterms:modified xsi:type="dcterms:W3CDTF">2022-06-24T05:44:00Z</dcterms:modified>
</cp:coreProperties>
</file>